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Times New Roman"/>
          <w:snapToGrid w:val="0"/>
          <w:spacing w:val="6"/>
          <w:kern w:val="0"/>
          <w:sz w:val="32"/>
          <w:szCs w:val="32"/>
          <w:lang w:val="en-US" w:eastAsia="zh-CN"/>
        </w:rPr>
        <w:t>药学</w:t>
      </w:r>
      <w:r>
        <w:rPr>
          <w:rFonts w:hint="eastAsia" w:ascii="方正小标宋简体" w:hAnsi="宋体" w:eastAsia="方正小标宋简体" w:cs="Times New Roman"/>
          <w:snapToGrid w:val="0"/>
          <w:spacing w:val="6"/>
          <w:kern w:val="0"/>
          <w:sz w:val="32"/>
          <w:szCs w:val="32"/>
        </w:rPr>
        <w:t>文化节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作品创作选题指南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围绕对</w:t>
      </w:r>
      <w:r>
        <w:rPr>
          <w:rFonts w:hint="eastAsia" w:ascii="Times" w:hAnsi="Times" w:eastAsia="仿宋_GB2312" w:cs="宋体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，结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弘扬社会主义法治理念、法治精神，培育社会主义法治文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8.学习弘扬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  <w:lang w:val="en-US" w:eastAsia="zh-CN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  <w:lang w:val="en-US" w:eastAsia="zh-CN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争做校园好网民，营造清朗网络空间，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u w:val="none"/>
          <w:lang w:val="en-US" w:eastAsia="zh-CN" w:bidi="ar-SA"/>
        </w:rPr>
        <w:t>共建美好网上精神家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园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、科研攻关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投身祖国、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，体现青年学生为服务国家富强、民族复兴、人民幸福贡献力量的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12.体现青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敢为人先、敢于突破的创新精神，实学实干、孜孜不倦、追求卓越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品质，立大志、明大德、成大才、担大任、努力成为堪当民族复兴大任的时代新人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18.铸牢中华民族共同体意识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（供创作参考，不限于以上主题）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zIwOGVmMDFhMjNjNzZjOGE3OThiMDQ2MDQ2MDkifQ=="/>
  </w:docVars>
  <w:rsids>
    <w:rsidRoot w:val="22A3278A"/>
    <w:rsid w:val="22A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2022-05-17T08:30:00Z</dcterms:created>
  <dc:creator>汐</dc:creator>
  <cp:lastModifiedBy>汐</cp:lastModifiedBy>
  <dcterms:modified xsi:type="dcterms:W3CDTF">2022-05-17T08:33:04Z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B039081FDE274738A56640740230DA97</vt:lpwstr>
  </property>
</Properties>
</file>